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B7" w:rsidRPr="008368B1" w:rsidRDefault="004010C7" w:rsidP="00691A22">
      <w:pPr>
        <w:spacing w:after="120"/>
        <w:jc w:val="center"/>
        <w:rPr>
          <w:rFonts w:cstheme="minorHAnsi"/>
          <w:b/>
          <w:sz w:val="24"/>
          <w:szCs w:val="24"/>
          <w:u w:val="single"/>
        </w:rPr>
      </w:pPr>
      <w:r w:rsidRPr="008368B1">
        <w:rPr>
          <w:rFonts w:cstheme="minorHAnsi"/>
          <w:b/>
          <w:sz w:val="24"/>
          <w:szCs w:val="24"/>
          <w:u w:val="single"/>
        </w:rPr>
        <w:t>HAMPSHIRE GOVERNOR SERVICES – SAFEGUARDING INFORMATION FOR GOVERNORS</w:t>
      </w:r>
    </w:p>
    <w:p w:rsidR="004010C7" w:rsidRPr="008368B1" w:rsidRDefault="004010C7" w:rsidP="008368B1">
      <w:pPr>
        <w:spacing w:after="120"/>
        <w:jc w:val="center"/>
        <w:rPr>
          <w:rFonts w:cstheme="minorHAnsi"/>
          <w:b/>
          <w:sz w:val="24"/>
          <w:szCs w:val="24"/>
          <w:u w:val="single"/>
        </w:rPr>
      </w:pPr>
      <w:r w:rsidRPr="008368B1">
        <w:rPr>
          <w:rFonts w:cstheme="minorHAnsi"/>
          <w:b/>
          <w:sz w:val="24"/>
          <w:szCs w:val="24"/>
          <w:u w:val="single"/>
        </w:rPr>
        <w:t>AS AT NOV 2020</w:t>
      </w:r>
    </w:p>
    <w:p w:rsidR="008368B1" w:rsidRPr="004010C7" w:rsidRDefault="008368B1" w:rsidP="008368B1">
      <w:pPr>
        <w:spacing w:after="120"/>
        <w:jc w:val="center"/>
        <w:rPr>
          <w:rFonts w:cstheme="minorHAnsi"/>
          <w:b/>
          <w:u w:val="single"/>
        </w:rPr>
      </w:pPr>
      <w:bookmarkStart w:id="0" w:name="_GoBack"/>
      <w:bookmarkEnd w:id="0"/>
    </w:p>
    <w:p w:rsidR="004010C7" w:rsidRPr="004010C7" w:rsidRDefault="004010C7" w:rsidP="00712423">
      <w:pPr>
        <w:spacing w:after="120" w:line="240" w:lineRule="auto"/>
        <w:textAlignment w:val="baseline"/>
        <w:rPr>
          <w:rFonts w:eastAsia="Times New Roman" w:cstheme="minorHAnsi"/>
          <w:color w:val="222222"/>
          <w:lang w:eastAsia="en-GB"/>
        </w:rPr>
      </w:pPr>
      <w:r w:rsidRPr="004010C7">
        <w:rPr>
          <w:rFonts w:eastAsia="Times New Roman" w:cstheme="minorHAnsi"/>
          <w:color w:val="222222"/>
          <w:lang w:eastAsia="en-GB"/>
        </w:rPr>
        <w:t>Safeguarding is a key statutory responsibility for governors and all staff who work in education settings. The key document that all governors should read is </w:t>
      </w:r>
      <w:hyperlink r:id="rId7" w:history="1">
        <w:r w:rsidRPr="004010C7">
          <w:rPr>
            <w:rFonts w:eastAsia="Times New Roman" w:cstheme="minorHAnsi"/>
            <w:color w:val="480387"/>
            <w:u w:val="single"/>
            <w:bdr w:val="none" w:sz="0" w:space="0" w:color="auto" w:frame="1"/>
            <w:lang w:eastAsia="en-GB"/>
          </w:rPr>
          <w:t>Keeping Children Safe in Education</w:t>
        </w:r>
      </w:hyperlink>
      <w:r w:rsidRPr="004010C7">
        <w:rPr>
          <w:rFonts w:eastAsia="Times New Roman" w:cstheme="minorHAnsi"/>
          <w:color w:val="222222"/>
          <w:lang w:eastAsia="en-GB"/>
        </w:rPr>
        <w:t>. This is Statutory Guidance from the Department for Education and is regularly updated. It is important to check that you are looking at the latest version, rather than referring to a saved copy.</w:t>
      </w:r>
    </w:p>
    <w:p w:rsidR="004010C7" w:rsidRDefault="004010C7" w:rsidP="00712423">
      <w:pPr>
        <w:spacing w:before="120" w:after="120" w:line="240" w:lineRule="auto"/>
        <w:textAlignment w:val="baseline"/>
        <w:rPr>
          <w:rFonts w:eastAsia="Times New Roman" w:cstheme="minorHAnsi"/>
          <w:color w:val="222222"/>
          <w:lang w:eastAsia="en-GB"/>
        </w:rPr>
      </w:pPr>
      <w:r w:rsidRPr="004010C7">
        <w:rPr>
          <w:rFonts w:eastAsia="Times New Roman" w:cstheme="minorHAnsi"/>
          <w:color w:val="222222"/>
          <w:lang w:eastAsia="en-GB"/>
        </w:rPr>
        <w:t>The term 'safeguarding' is used to cover all the activities schools and education centres undertake to:</w:t>
      </w:r>
    </w:p>
    <w:p w:rsidR="00712423" w:rsidRPr="00712423" w:rsidRDefault="00712423" w:rsidP="00712423">
      <w:pPr>
        <w:pStyle w:val="ListParagraph"/>
        <w:numPr>
          <w:ilvl w:val="0"/>
          <w:numId w:val="9"/>
        </w:numPr>
        <w:spacing w:before="120" w:after="100" w:afterAutospacing="1" w:line="240" w:lineRule="auto"/>
        <w:ind w:left="714" w:hanging="357"/>
        <w:textAlignment w:val="baseline"/>
        <w:rPr>
          <w:rFonts w:eastAsia="Times New Roman" w:cstheme="minorHAnsi"/>
          <w:color w:val="222222"/>
          <w:lang w:eastAsia="en-GB"/>
        </w:rPr>
      </w:pPr>
      <w:r w:rsidRPr="00712423">
        <w:rPr>
          <w:rFonts w:eastAsia="Times New Roman" w:cstheme="minorHAnsi"/>
          <w:color w:val="222222"/>
          <w:lang w:eastAsia="en-GB"/>
        </w:rPr>
        <w:t>provide a safe environment for children and young people to learn</w:t>
      </w:r>
    </w:p>
    <w:p w:rsidR="00712423" w:rsidRPr="00712423" w:rsidRDefault="00712423" w:rsidP="00712423">
      <w:pPr>
        <w:pStyle w:val="ListParagraph"/>
        <w:numPr>
          <w:ilvl w:val="0"/>
          <w:numId w:val="9"/>
        </w:numPr>
        <w:spacing w:before="100" w:beforeAutospacing="1" w:after="100" w:afterAutospacing="1" w:line="240" w:lineRule="auto"/>
        <w:textAlignment w:val="baseline"/>
        <w:rPr>
          <w:rFonts w:eastAsia="Times New Roman" w:cstheme="minorHAnsi"/>
          <w:color w:val="222222"/>
          <w:lang w:eastAsia="en-GB"/>
        </w:rPr>
      </w:pPr>
      <w:r w:rsidRPr="00712423">
        <w:rPr>
          <w:rFonts w:eastAsia="Times New Roman" w:cstheme="minorHAnsi"/>
          <w:color w:val="222222"/>
          <w:lang w:eastAsia="en-GB"/>
        </w:rPr>
        <w:t>identify children and young people who are suffering, or likely to suffer, significant harm, and taking appropriate action with the aim of making sure they are kept safe, both at home and in the education setting</w:t>
      </w:r>
    </w:p>
    <w:p w:rsidR="00712423" w:rsidRPr="00712423" w:rsidRDefault="00712423" w:rsidP="00712423">
      <w:pPr>
        <w:pStyle w:val="ListParagraph"/>
        <w:numPr>
          <w:ilvl w:val="0"/>
          <w:numId w:val="9"/>
        </w:numPr>
        <w:spacing w:before="100" w:beforeAutospacing="1" w:after="100" w:afterAutospacing="1" w:line="240" w:lineRule="auto"/>
        <w:textAlignment w:val="baseline"/>
        <w:rPr>
          <w:rFonts w:eastAsia="Times New Roman" w:cstheme="minorHAnsi"/>
          <w:color w:val="222222"/>
          <w:lang w:eastAsia="en-GB"/>
        </w:rPr>
      </w:pPr>
      <w:r w:rsidRPr="00712423">
        <w:rPr>
          <w:rFonts w:eastAsia="Times New Roman" w:cstheme="minorHAnsi"/>
          <w:color w:val="222222"/>
          <w:lang w:eastAsia="en-GB"/>
        </w:rPr>
        <w:t>providing a curriculum which enables young people to recognise risk and keep themselves safe in school, in the community and online</w:t>
      </w:r>
    </w:p>
    <w:p w:rsidR="004010C7" w:rsidRDefault="004010C7" w:rsidP="008368B1">
      <w:pPr>
        <w:spacing w:before="120" w:after="120" w:line="240" w:lineRule="auto"/>
        <w:textAlignment w:val="baseline"/>
        <w:rPr>
          <w:rFonts w:eastAsia="Times New Roman" w:cstheme="minorHAnsi"/>
          <w:color w:val="222222"/>
          <w:lang w:eastAsia="en-GB"/>
        </w:rPr>
      </w:pPr>
      <w:r w:rsidRPr="004010C7">
        <w:rPr>
          <w:rFonts w:eastAsia="Times New Roman" w:cstheme="minorHAnsi"/>
          <w:color w:val="222222"/>
          <w:lang w:eastAsia="en-GB"/>
        </w:rPr>
        <w:t>Safeguarding is a key element of Ofsted and forms part of the leadership and management judgment. See </w:t>
      </w:r>
      <w:hyperlink r:id="rId8" w:history="1">
        <w:r w:rsidRPr="004010C7">
          <w:rPr>
            <w:rFonts w:eastAsia="Times New Roman" w:cstheme="minorHAnsi"/>
            <w:color w:val="480387"/>
            <w:u w:val="single"/>
            <w:bdr w:val="none" w:sz="0" w:space="0" w:color="auto" w:frame="1"/>
            <w:lang w:eastAsia="en-GB"/>
          </w:rPr>
          <w:t>Guidance for inspectors</w:t>
        </w:r>
      </w:hyperlink>
      <w:r w:rsidRPr="004010C7">
        <w:rPr>
          <w:rFonts w:eastAsia="Times New Roman" w:cstheme="minorHAnsi"/>
          <w:color w:val="222222"/>
          <w:lang w:eastAsia="en-GB"/>
        </w:rPr>
        <w:t>.</w:t>
      </w:r>
    </w:p>
    <w:p w:rsidR="004010C7" w:rsidRDefault="00035BD5" w:rsidP="008368B1">
      <w:pPr>
        <w:spacing w:before="120" w:after="120" w:line="240" w:lineRule="auto"/>
        <w:textAlignment w:val="baseline"/>
        <w:rPr>
          <w:rFonts w:eastAsia="Times New Roman" w:cstheme="minorHAnsi"/>
          <w:color w:val="222222"/>
          <w:lang w:eastAsia="en-GB"/>
        </w:rPr>
      </w:pPr>
      <w:hyperlink r:id="rId9" w:history="1">
        <w:r w:rsidR="004010C7" w:rsidRPr="004010C7">
          <w:rPr>
            <w:rFonts w:eastAsia="Times New Roman" w:cstheme="minorHAnsi"/>
            <w:color w:val="480387"/>
            <w:u w:val="single"/>
            <w:bdr w:val="none" w:sz="0" w:space="0" w:color="auto" w:frame="1"/>
            <w:lang w:eastAsia="en-GB"/>
          </w:rPr>
          <w:t>Statutory guidance for schools</w:t>
        </w:r>
      </w:hyperlink>
      <w:r w:rsidR="004010C7" w:rsidRPr="004010C7">
        <w:rPr>
          <w:rFonts w:eastAsia="Times New Roman" w:cstheme="minorHAnsi"/>
          <w:color w:val="222222"/>
          <w:lang w:eastAsia="en-GB"/>
        </w:rPr>
        <w:t> about employing staff who have been disqualified from providing childcare.</w:t>
      </w:r>
    </w:p>
    <w:p w:rsidR="00691A22" w:rsidRPr="004010C7" w:rsidRDefault="00691A22" w:rsidP="004010C7">
      <w:pPr>
        <w:spacing w:after="0" w:line="240" w:lineRule="auto"/>
        <w:textAlignment w:val="baseline"/>
        <w:rPr>
          <w:rFonts w:eastAsia="Times New Roman" w:cstheme="minorHAnsi"/>
          <w:color w:val="222222"/>
          <w:lang w:eastAsia="en-GB"/>
        </w:rPr>
      </w:pPr>
    </w:p>
    <w:p w:rsidR="004010C7" w:rsidRPr="00691A22" w:rsidRDefault="004010C7" w:rsidP="004010C7">
      <w:pPr>
        <w:spacing w:after="0" w:line="360" w:lineRule="atLeast"/>
        <w:textAlignment w:val="baseline"/>
        <w:rPr>
          <w:rFonts w:eastAsia="Times New Roman" w:cstheme="minorHAnsi"/>
          <w:b/>
          <w:color w:val="222222"/>
          <w:u w:val="single"/>
          <w:lang w:eastAsia="en-GB"/>
        </w:rPr>
      </w:pPr>
      <w:r w:rsidRPr="00691A22">
        <w:rPr>
          <w:rFonts w:eastAsia="Times New Roman" w:cstheme="minorHAnsi"/>
          <w:b/>
          <w:color w:val="222222"/>
          <w:u w:val="single"/>
          <w:lang w:eastAsia="en-GB"/>
        </w:rPr>
        <w:t>What do governance boards (GBs) need to do?</w:t>
      </w:r>
    </w:p>
    <w:p w:rsidR="004010C7" w:rsidRPr="004010C7" w:rsidRDefault="004010C7" w:rsidP="00691A22">
      <w:pPr>
        <w:spacing w:after="0" w:line="360" w:lineRule="atLeast"/>
        <w:textAlignment w:val="baseline"/>
        <w:rPr>
          <w:rFonts w:eastAsia="Times New Roman" w:cstheme="minorHAnsi"/>
          <w:color w:val="222222"/>
          <w:lang w:eastAsia="en-GB"/>
        </w:rPr>
      </w:pPr>
      <w:r w:rsidRPr="004010C7">
        <w:rPr>
          <w:rFonts w:eastAsia="Times New Roman" w:cstheme="minorHAnsi"/>
          <w:color w:val="222222"/>
          <w:lang w:eastAsia="en-GB"/>
        </w:rPr>
        <w:t>The statutory guidance </w:t>
      </w:r>
      <w:hyperlink r:id="rId10" w:history="1">
        <w:r w:rsidRPr="004010C7">
          <w:rPr>
            <w:rFonts w:eastAsia="Times New Roman" w:cstheme="minorHAnsi"/>
            <w:color w:val="480387"/>
            <w:u w:val="single"/>
            <w:bdr w:val="none" w:sz="0" w:space="0" w:color="auto" w:frame="1"/>
            <w:lang w:eastAsia="en-GB"/>
          </w:rPr>
          <w:t>Keeping Children Safe in Education</w:t>
        </w:r>
      </w:hyperlink>
      <w:r w:rsidRPr="004010C7">
        <w:rPr>
          <w:rFonts w:eastAsia="Times New Roman" w:cstheme="minorHAnsi"/>
          <w:color w:val="222222"/>
          <w:lang w:eastAsia="en-GB"/>
        </w:rPr>
        <w:t> (KCSIE) makes clear that every GB, together with senior school leaders, have a responsibility to safeguard and promote the welfare of children. GBs must have regard to this guidance, ensuring that policies, procedures and training in their schools are effective and comply with the law at all times.</w:t>
      </w:r>
    </w:p>
    <w:p w:rsidR="004010C7" w:rsidRPr="004010C7" w:rsidRDefault="004010C7" w:rsidP="008368B1">
      <w:pPr>
        <w:spacing w:before="240" w:after="240" w:line="240" w:lineRule="atLeast"/>
        <w:textAlignment w:val="baseline"/>
        <w:rPr>
          <w:rFonts w:eastAsia="Times New Roman" w:cstheme="minorHAnsi"/>
          <w:color w:val="222222"/>
          <w:lang w:eastAsia="en-GB"/>
        </w:rPr>
      </w:pPr>
      <w:r w:rsidRPr="004010C7">
        <w:rPr>
          <w:rFonts w:eastAsia="Times New Roman" w:cstheme="minorHAnsi"/>
          <w:color w:val="222222"/>
          <w:lang w:eastAsia="en-GB"/>
        </w:rPr>
        <w:t>Governors must prioritise the welfare of children and learners and creating a culture where staff are confident to challenge senior leaders over any safeguarding concerns.</w:t>
      </w:r>
    </w:p>
    <w:p w:rsidR="004010C7" w:rsidRPr="004010C7" w:rsidRDefault="004010C7" w:rsidP="008368B1">
      <w:pPr>
        <w:spacing w:before="240" w:after="240" w:line="240" w:lineRule="atLeast"/>
        <w:textAlignment w:val="baseline"/>
        <w:rPr>
          <w:rFonts w:eastAsia="Times New Roman" w:cstheme="minorHAnsi"/>
          <w:color w:val="222222"/>
          <w:lang w:eastAsia="en-GB"/>
        </w:rPr>
      </w:pPr>
      <w:r w:rsidRPr="004010C7">
        <w:rPr>
          <w:rFonts w:eastAsia="Times New Roman" w:cstheme="minorHAnsi"/>
          <w:color w:val="222222"/>
          <w:lang w:eastAsia="en-GB"/>
        </w:rPr>
        <w:t>KCSIE explains this means GBs should ensure:</w:t>
      </w:r>
    </w:p>
    <w:p w:rsidR="004010C7" w:rsidRPr="004010C7" w:rsidRDefault="004010C7" w:rsidP="008368B1">
      <w:pPr>
        <w:numPr>
          <w:ilvl w:val="0"/>
          <w:numId w:val="2"/>
        </w:numPr>
        <w:spacing w:before="240" w:after="100" w:afterAutospacing="1" w:line="240" w:lineRule="atLeast"/>
        <w:ind w:left="958" w:hanging="357"/>
        <w:textAlignment w:val="baseline"/>
        <w:rPr>
          <w:rFonts w:eastAsia="Times New Roman" w:cstheme="minorHAnsi"/>
          <w:color w:val="222222"/>
          <w:lang w:eastAsia="en-GB"/>
        </w:rPr>
      </w:pPr>
      <w:r w:rsidRPr="004010C7">
        <w:rPr>
          <w:rFonts w:eastAsia="Times New Roman" w:cstheme="minorHAnsi"/>
          <w:color w:val="222222"/>
          <w:lang w:eastAsia="en-GB"/>
        </w:rPr>
        <w:t>appropriate policies are in place including:</w:t>
      </w:r>
    </w:p>
    <w:p w:rsidR="004010C7" w:rsidRPr="004010C7" w:rsidRDefault="004010C7" w:rsidP="004010C7">
      <w:pPr>
        <w:numPr>
          <w:ilvl w:val="1"/>
          <w:numId w:val="2"/>
        </w:numPr>
        <w:spacing w:beforeAutospacing="1" w:after="0" w:afterAutospacing="1" w:line="360" w:lineRule="atLeast"/>
        <w:ind w:left="1200"/>
        <w:textAlignment w:val="baseline"/>
        <w:rPr>
          <w:rFonts w:eastAsia="Times New Roman" w:cstheme="minorHAnsi"/>
          <w:color w:val="222222"/>
          <w:lang w:eastAsia="en-GB"/>
        </w:rPr>
      </w:pPr>
      <w:r w:rsidRPr="004010C7">
        <w:rPr>
          <w:rFonts w:eastAsia="Times New Roman" w:cstheme="minorHAnsi"/>
          <w:color w:val="222222"/>
          <w:lang w:eastAsia="en-GB"/>
        </w:rPr>
        <w:t>an effective </w:t>
      </w:r>
      <w:r w:rsidRPr="004010C7">
        <w:rPr>
          <w:rFonts w:eastAsia="Times New Roman" w:cstheme="minorHAnsi"/>
          <w:i/>
          <w:iCs/>
          <w:color w:val="222222"/>
          <w:bdr w:val="none" w:sz="0" w:space="0" w:color="auto" w:frame="1"/>
          <w:lang w:eastAsia="en-GB"/>
        </w:rPr>
        <w:t>child protection policy</w:t>
      </w:r>
      <w:r w:rsidRPr="004010C7">
        <w:rPr>
          <w:rFonts w:eastAsia="Times New Roman" w:cstheme="minorHAnsi"/>
          <w:color w:val="222222"/>
          <w:lang w:eastAsia="en-GB"/>
        </w:rPr>
        <w:t> which is updated at least annually and agreed by the GB</w:t>
      </w:r>
    </w:p>
    <w:p w:rsidR="004010C7" w:rsidRPr="004010C7" w:rsidRDefault="004010C7" w:rsidP="004010C7">
      <w:pPr>
        <w:numPr>
          <w:ilvl w:val="1"/>
          <w:numId w:val="2"/>
        </w:numPr>
        <w:spacing w:beforeAutospacing="1" w:after="0" w:afterAutospacing="1" w:line="360" w:lineRule="atLeast"/>
        <w:ind w:left="1200"/>
        <w:textAlignment w:val="baseline"/>
        <w:rPr>
          <w:rFonts w:eastAsia="Times New Roman" w:cstheme="minorHAnsi"/>
          <w:color w:val="222222"/>
          <w:lang w:eastAsia="en-GB"/>
        </w:rPr>
      </w:pPr>
      <w:r w:rsidRPr="004010C7">
        <w:rPr>
          <w:rFonts w:eastAsia="Times New Roman" w:cstheme="minorHAnsi"/>
          <w:color w:val="222222"/>
          <w:lang w:eastAsia="en-GB"/>
        </w:rPr>
        <w:t>a </w:t>
      </w:r>
      <w:r w:rsidRPr="004010C7">
        <w:rPr>
          <w:rFonts w:eastAsia="Times New Roman" w:cstheme="minorHAnsi"/>
          <w:i/>
          <w:iCs/>
          <w:color w:val="222222"/>
          <w:bdr w:val="none" w:sz="0" w:space="0" w:color="auto" w:frame="1"/>
          <w:lang w:eastAsia="en-GB"/>
        </w:rPr>
        <w:t>staff behaviour policy</w:t>
      </w:r>
      <w:r w:rsidRPr="004010C7">
        <w:rPr>
          <w:rFonts w:eastAsia="Times New Roman" w:cstheme="minorHAnsi"/>
          <w:color w:val="222222"/>
          <w:lang w:eastAsia="en-GB"/>
        </w:rPr>
        <w:t> (sometimes called the code of conduct) which should, amongst other things, include: acceptable use of technologies, staff/pupil relationships and communications including the use of social media. For Hampshire schools this is in the Manual of Personnel Practice (MOPP) which is adopted annually by most schools.</w:t>
      </w:r>
    </w:p>
    <w:p w:rsidR="004010C7" w:rsidRPr="004010C7" w:rsidRDefault="004010C7" w:rsidP="004010C7">
      <w:pPr>
        <w:numPr>
          <w:ilvl w:val="1"/>
          <w:numId w:val="2"/>
        </w:numPr>
        <w:spacing w:before="100" w:beforeAutospacing="1" w:after="100" w:afterAutospacing="1" w:line="360" w:lineRule="atLeast"/>
        <w:ind w:left="1200"/>
        <w:textAlignment w:val="baseline"/>
        <w:rPr>
          <w:rFonts w:eastAsia="Times New Roman" w:cstheme="minorHAnsi"/>
          <w:color w:val="222222"/>
          <w:lang w:eastAsia="en-GB"/>
        </w:rPr>
      </w:pPr>
      <w:r w:rsidRPr="004010C7">
        <w:rPr>
          <w:rFonts w:eastAsia="Times New Roman" w:cstheme="minorHAnsi"/>
          <w:color w:val="222222"/>
          <w:lang w:eastAsia="en-GB"/>
        </w:rPr>
        <w:t>appropriate safeguarding responses to children and learners who go missing from early years and education settings, particularly on repeat occasions</w:t>
      </w:r>
    </w:p>
    <w:p w:rsidR="004010C7" w:rsidRPr="004010C7" w:rsidRDefault="004010C7" w:rsidP="004010C7">
      <w:pPr>
        <w:numPr>
          <w:ilvl w:val="0"/>
          <w:numId w:val="3"/>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lastRenderedPageBreak/>
        <w:t>an appropriate senior member of staff is appointed to the role of designated safeguarding lead (DSL). The DSL should undergo child protection training every two years.</w:t>
      </w:r>
    </w:p>
    <w:p w:rsidR="004010C7" w:rsidRPr="004010C7" w:rsidRDefault="004010C7" w:rsidP="004010C7">
      <w:pPr>
        <w:numPr>
          <w:ilvl w:val="0"/>
          <w:numId w:val="3"/>
        </w:numPr>
        <w:spacing w:beforeAutospacing="1" w:after="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that the school contributes to multi-agency working in line with statutory guidance </w:t>
      </w:r>
      <w:hyperlink r:id="rId11" w:history="1">
        <w:r w:rsidRPr="004010C7">
          <w:rPr>
            <w:rFonts w:eastAsia="Times New Roman" w:cstheme="minorHAnsi"/>
            <w:color w:val="480387"/>
            <w:u w:val="single"/>
            <w:bdr w:val="none" w:sz="0" w:space="0" w:color="auto" w:frame="1"/>
            <w:lang w:eastAsia="en-GB"/>
          </w:rPr>
          <w:t>Working Together to Safeguard Children</w:t>
        </w:r>
      </w:hyperlink>
      <w:r w:rsidRPr="004010C7">
        <w:rPr>
          <w:rFonts w:eastAsia="Times New Roman" w:cstheme="minorHAnsi"/>
          <w:color w:val="222222"/>
          <w:lang w:eastAsia="en-GB"/>
        </w:rPr>
        <w:t>.</w:t>
      </w:r>
    </w:p>
    <w:p w:rsidR="004010C7" w:rsidRPr="00691A22" w:rsidRDefault="004010C7" w:rsidP="004010C7">
      <w:pPr>
        <w:numPr>
          <w:ilvl w:val="0"/>
          <w:numId w:val="3"/>
        </w:numPr>
        <w:spacing w:before="100" w:beforeAutospacing="1" w:after="100" w:afterAutospacing="1" w:line="360" w:lineRule="atLeast"/>
        <w:ind w:left="960"/>
        <w:textAlignment w:val="baseline"/>
        <w:rPr>
          <w:rFonts w:eastAsia="Times New Roman" w:cstheme="minorHAnsi"/>
          <w:b/>
          <w:color w:val="222222"/>
          <w:lang w:eastAsia="en-GB"/>
        </w:rPr>
      </w:pPr>
      <w:r w:rsidRPr="00691A22">
        <w:rPr>
          <w:rFonts w:eastAsia="Times New Roman" w:cstheme="minorHAnsi"/>
          <w:b/>
          <w:color w:val="222222"/>
          <w:lang w:eastAsia="en-GB"/>
        </w:rPr>
        <w:t>all staff and governors have read and understood at least part 1 of KCSIE.</w:t>
      </w:r>
    </w:p>
    <w:p w:rsidR="004010C7" w:rsidRPr="004010C7" w:rsidRDefault="004010C7" w:rsidP="004010C7">
      <w:pPr>
        <w:numPr>
          <w:ilvl w:val="0"/>
          <w:numId w:val="3"/>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that all staff and governors undergo safeguarding and child protection training (including online safety) at induction. The training should be regularly updated.</w:t>
      </w:r>
    </w:p>
    <w:p w:rsidR="004010C7" w:rsidRPr="004010C7" w:rsidRDefault="004010C7" w:rsidP="004010C7">
      <w:pPr>
        <w:numPr>
          <w:ilvl w:val="0"/>
          <w:numId w:val="3"/>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appropriate filters and appropriate web monitoring systems are in place to keep children safe online</w:t>
      </w:r>
    </w:p>
    <w:p w:rsidR="004010C7" w:rsidRPr="004010C7" w:rsidRDefault="004010C7" w:rsidP="004010C7">
      <w:pPr>
        <w:numPr>
          <w:ilvl w:val="0"/>
          <w:numId w:val="3"/>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children are taught about safeguarding, including online safety. Schools should consider this as part of providing a broad and balanced curriculum.</w:t>
      </w:r>
    </w:p>
    <w:p w:rsidR="004010C7" w:rsidRPr="004010C7" w:rsidRDefault="004010C7" w:rsidP="004010C7">
      <w:pPr>
        <w:numPr>
          <w:ilvl w:val="0"/>
          <w:numId w:val="3"/>
        </w:numPr>
        <w:spacing w:beforeAutospacing="1" w:after="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prevent people who pose a risk of harm from working with children by adhering to statutory responsibilities to check staff who work with children and complying with safer recruitment practices. At least one governor must be Safer Recruitment trained. More details about the Governor Services training can be found on </w:t>
      </w:r>
      <w:hyperlink r:id="rId12" w:anchor="home" w:history="1">
        <w:r w:rsidRPr="004010C7">
          <w:rPr>
            <w:rFonts w:eastAsia="Times New Roman" w:cstheme="minorHAnsi"/>
            <w:color w:val="480387"/>
            <w:u w:val="single"/>
            <w:bdr w:val="none" w:sz="0" w:space="0" w:color="auto" w:frame="1"/>
            <w:lang w:eastAsia="en-GB"/>
          </w:rPr>
          <w:t>Governorhub</w:t>
        </w:r>
      </w:hyperlink>
    </w:p>
    <w:p w:rsidR="004010C7" w:rsidRPr="004010C7" w:rsidRDefault="004010C7" w:rsidP="004010C7">
      <w:pPr>
        <w:numPr>
          <w:ilvl w:val="0"/>
          <w:numId w:val="3"/>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there are procedures in place to manage concerns/allegations, against staff (including volunteers) that might indicate they would pose a risk of harm to children. This includes Section 128 checks on governors in maintained schools, and trustees and local governors in academies. </w:t>
      </w:r>
    </w:p>
    <w:p w:rsidR="004010C7" w:rsidRPr="004010C7" w:rsidRDefault="004010C7" w:rsidP="004010C7">
      <w:pPr>
        <w:numPr>
          <w:ilvl w:val="0"/>
          <w:numId w:val="3"/>
        </w:numPr>
        <w:spacing w:beforeAutospacing="1" w:after="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the school maintains a </w:t>
      </w:r>
      <w:hyperlink r:id="rId13" w:history="1">
        <w:r w:rsidRPr="004010C7">
          <w:rPr>
            <w:rFonts w:eastAsia="Times New Roman" w:cstheme="minorHAnsi"/>
            <w:color w:val="480387"/>
            <w:u w:val="single"/>
            <w:bdr w:val="none" w:sz="0" w:space="0" w:color="auto" w:frame="1"/>
            <w:lang w:eastAsia="en-GB"/>
          </w:rPr>
          <w:t>single central record</w:t>
        </w:r>
      </w:hyperlink>
      <w:r w:rsidRPr="004010C7">
        <w:rPr>
          <w:rFonts w:eastAsia="Times New Roman" w:cstheme="minorHAnsi"/>
          <w:color w:val="222222"/>
          <w:lang w:eastAsia="en-GB"/>
        </w:rPr>
        <w:t> (SCR) of pre-appointment checks.</w:t>
      </w:r>
    </w:p>
    <w:p w:rsidR="004010C7" w:rsidRPr="004010C7" w:rsidRDefault="004010C7" w:rsidP="004010C7">
      <w:pPr>
        <w:numPr>
          <w:ilvl w:val="0"/>
          <w:numId w:val="3"/>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that there are procedures in place to handle allegations against other children or learners</w:t>
      </w:r>
    </w:p>
    <w:p w:rsidR="004010C7" w:rsidRPr="00691A22" w:rsidRDefault="004010C7" w:rsidP="00691A22">
      <w:pPr>
        <w:spacing w:after="0" w:line="280" w:lineRule="atLeast"/>
        <w:textAlignment w:val="baseline"/>
        <w:rPr>
          <w:rFonts w:eastAsia="Times New Roman" w:cstheme="minorHAnsi"/>
          <w:b/>
          <w:color w:val="222222"/>
          <w:u w:val="single"/>
          <w:lang w:eastAsia="en-GB"/>
        </w:rPr>
      </w:pPr>
      <w:r w:rsidRPr="00691A22">
        <w:rPr>
          <w:rFonts w:eastAsia="Times New Roman" w:cstheme="minorHAnsi"/>
          <w:b/>
          <w:color w:val="222222"/>
          <w:u w:val="single"/>
          <w:lang w:eastAsia="en-GB"/>
        </w:rPr>
        <w:t>Governor monitoring of safeguarding and the role of the safeguarding governor</w:t>
      </w:r>
    </w:p>
    <w:p w:rsidR="004010C7" w:rsidRPr="004010C7" w:rsidRDefault="004010C7" w:rsidP="00691A22">
      <w:pPr>
        <w:spacing w:before="240" w:after="240" w:line="240" w:lineRule="atLeast"/>
        <w:textAlignment w:val="baseline"/>
        <w:rPr>
          <w:rFonts w:eastAsia="Times New Roman" w:cstheme="minorHAnsi"/>
          <w:color w:val="222222"/>
          <w:lang w:eastAsia="en-GB"/>
        </w:rPr>
      </w:pPr>
      <w:r w:rsidRPr="004010C7">
        <w:rPr>
          <w:rFonts w:eastAsia="Times New Roman" w:cstheme="minorHAnsi"/>
          <w:color w:val="222222"/>
          <w:lang w:eastAsia="en-GB"/>
        </w:rPr>
        <w:t>The GB monitor safeguarding practices in the school which includes checking:</w:t>
      </w:r>
    </w:p>
    <w:p w:rsidR="004010C7" w:rsidRPr="004010C7" w:rsidRDefault="004010C7" w:rsidP="00691A22">
      <w:pPr>
        <w:numPr>
          <w:ilvl w:val="0"/>
          <w:numId w:val="4"/>
        </w:numPr>
        <w:spacing w:before="120" w:after="120" w:line="120" w:lineRule="atLeast"/>
        <w:ind w:left="958" w:hanging="357"/>
        <w:textAlignment w:val="baseline"/>
        <w:rPr>
          <w:rFonts w:eastAsia="Times New Roman" w:cstheme="minorHAnsi"/>
          <w:color w:val="222222"/>
          <w:lang w:eastAsia="en-GB"/>
        </w:rPr>
      </w:pPr>
      <w:r w:rsidRPr="004010C7">
        <w:rPr>
          <w:rFonts w:eastAsia="Times New Roman" w:cstheme="minorHAnsi"/>
          <w:color w:val="222222"/>
          <w:lang w:eastAsia="en-GB"/>
        </w:rPr>
        <w:t>the relevant policies in place are applied consistently and fairly across the school</w:t>
      </w:r>
    </w:p>
    <w:p w:rsidR="004010C7" w:rsidRPr="004010C7" w:rsidRDefault="004010C7" w:rsidP="00691A22">
      <w:pPr>
        <w:numPr>
          <w:ilvl w:val="0"/>
          <w:numId w:val="4"/>
        </w:numPr>
        <w:spacing w:before="120" w:after="240" w:line="120" w:lineRule="atLeast"/>
        <w:ind w:left="958" w:hanging="357"/>
        <w:textAlignment w:val="baseline"/>
        <w:rPr>
          <w:rFonts w:eastAsia="Times New Roman" w:cstheme="minorHAnsi"/>
          <w:color w:val="222222"/>
          <w:lang w:eastAsia="en-GB"/>
        </w:rPr>
      </w:pPr>
      <w:r w:rsidRPr="004010C7">
        <w:rPr>
          <w:rFonts w:eastAsia="Times New Roman" w:cstheme="minorHAnsi"/>
          <w:color w:val="222222"/>
          <w:lang w:eastAsia="en-GB"/>
        </w:rPr>
        <w:t>the policies and procedures in place are up to date with the latest guidance</w:t>
      </w:r>
    </w:p>
    <w:p w:rsidR="004010C7" w:rsidRPr="004010C7" w:rsidRDefault="004010C7" w:rsidP="00691A22">
      <w:pPr>
        <w:spacing w:before="240" w:after="120" w:line="200" w:lineRule="atLeast"/>
        <w:textAlignment w:val="baseline"/>
        <w:rPr>
          <w:rFonts w:eastAsia="Times New Roman" w:cstheme="minorHAnsi"/>
          <w:color w:val="222222"/>
          <w:lang w:eastAsia="en-GB"/>
        </w:rPr>
      </w:pPr>
      <w:r w:rsidRPr="004010C7">
        <w:rPr>
          <w:rFonts w:eastAsia="Times New Roman" w:cstheme="minorHAnsi"/>
          <w:color w:val="222222"/>
          <w:lang w:eastAsia="en-GB"/>
        </w:rPr>
        <w:t>The GB should consider appointing on or more governors to have specific responsibilities regarding safeguarding. This person should:</w:t>
      </w:r>
    </w:p>
    <w:p w:rsidR="004010C7" w:rsidRPr="004010C7" w:rsidRDefault="004010C7" w:rsidP="00691A22">
      <w:pPr>
        <w:numPr>
          <w:ilvl w:val="0"/>
          <w:numId w:val="5"/>
        </w:numPr>
        <w:spacing w:before="100" w:beforeAutospacing="1" w:after="100" w:afterAutospacing="1" w:line="200" w:lineRule="atLeast"/>
        <w:ind w:left="958" w:hanging="357"/>
        <w:textAlignment w:val="baseline"/>
        <w:rPr>
          <w:rFonts w:eastAsia="Times New Roman" w:cstheme="minorHAnsi"/>
          <w:color w:val="222222"/>
          <w:lang w:eastAsia="en-GB"/>
        </w:rPr>
      </w:pPr>
      <w:r w:rsidRPr="004010C7">
        <w:rPr>
          <w:rFonts w:eastAsia="Times New Roman" w:cstheme="minorHAnsi"/>
          <w:color w:val="222222"/>
          <w:lang w:eastAsia="en-GB"/>
        </w:rPr>
        <w:t>lead on keeping the GB up to date with any changes in safeguarding legislation and best practice. They should regularly attend safeguarding training</w:t>
      </w:r>
    </w:p>
    <w:p w:rsidR="004010C7" w:rsidRPr="004010C7" w:rsidRDefault="004010C7" w:rsidP="004010C7">
      <w:pPr>
        <w:numPr>
          <w:ilvl w:val="0"/>
          <w:numId w:val="5"/>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make sure that children are taught how to recognise risk and know where to go for help when they need it</w:t>
      </w:r>
    </w:p>
    <w:p w:rsidR="004010C7" w:rsidRPr="004010C7" w:rsidRDefault="004010C7" w:rsidP="004010C7">
      <w:pPr>
        <w:numPr>
          <w:ilvl w:val="0"/>
          <w:numId w:val="5"/>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regularly (termly) check the SCR is up-to-date, accurate and complete</w:t>
      </w:r>
    </w:p>
    <w:p w:rsidR="004010C7" w:rsidRPr="004010C7" w:rsidRDefault="004010C7" w:rsidP="004010C7">
      <w:pPr>
        <w:numPr>
          <w:ilvl w:val="0"/>
          <w:numId w:val="5"/>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meet regularly with the DSL to monitor the school's policies and procedures</w:t>
      </w:r>
    </w:p>
    <w:p w:rsidR="004010C7" w:rsidRPr="004010C7" w:rsidRDefault="004010C7" w:rsidP="004010C7">
      <w:pPr>
        <w:numPr>
          <w:ilvl w:val="0"/>
          <w:numId w:val="5"/>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check that all staff, governors and volunteers have had appropriate training</w:t>
      </w:r>
    </w:p>
    <w:p w:rsidR="004010C7" w:rsidRPr="004010C7" w:rsidRDefault="004010C7" w:rsidP="004010C7">
      <w:pPr>
        <w:numPr>
          <w:ilvl w:val="0"/>
          <w:numId w:val="5"/>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lastRenderedPageBreak/>
        <w:t>carry out reasonable checks, for example for links with extremism, and assessing what will be appropriate supervision of, all visitors who are intending to work with children, learners and/or staff or to address assemblies</w:t>
      </w:r>
    </w:p>
    <w:p w:rsidR="004010C7" w:rsidRPr="004010C7" w:rsidRDefault="004010C7" w:rsidP="00691A22">
      <w:pPr>
        <w:spacing w:after="0" w:line="360" w:lineRule="atLeast"/>
        <w:textAlignment w:val="baseline"/>
        <w:rPr>
          <w:rFonts w:eastAsia="Times New Roman" w:cstheme="minorHAnsi"/>
          <w:b/>
          <w:color w:val="222222"/>
          <w:lang w:eastAsia="en-GB"/>
        </w:rPr>
      </w:pPr>
      <w:r w:rsidRPr="004010C7">
        <w:rPr>
          <w:rFonts w:eastAsia="Times New Roman" w:cstheme="minorHAnsi"/>
          <w:b/>
          <w:color w:val="222222"/>
          <w:lang w:eastAsia="en-GB"/>
        </w:rPr>
        <w:t>Ofsted expectations</w:t>
      </w:r>
    </w:p>
    <w:p w:rsidR="004010C7" w:rsidRDefault="004010C7" w:rsidP="00691A22">
      <w:pPr>
        <w:spacing w:after="0" w:line="360" w:lineRule="atLeast"/>
        <w:textAlignment w:val="baseline"/>
        <w:rPr>
          <w:rFonts w:eastAsia="Times New Roman" w:cstheme="minorHAnsi"/>
          <w:color w:val="222222"/>
          <w:lang w:eastAsia="en-GB"/>
        </w:rPr>
      </w:pPr>
      <w:r w:rsidRPr="004010C7">
        <w:rPr>
          <w:rFonts w:eastAsia="Times New Roman" w:cstheme="minorHAnsi"/>
          <w:color w:val="222222"/>
          <w:lang w:eastAsia="en-GB"/>
        </w:rPr>
        <w:t>Ofsted has issued guidance on </w:t>
      </w:r>
      <w:hyperlink r:id="rId14" w:history="1">
        <w:r w:rsidRPr="004010C7">
          <w:rPr>
            <w:rFonts w:eastAsia="Times New Roman" w:cstheme="minorHAnsi"/>
            <w:color w:val="480387"/>
            <w:u w:val="single"/>
            <w:bdr w:val="none" w:sz="0" w:space="0" w:color="auto" w:frame="1"/>
            <w:lang w:eastAsia="en-GB"/>
          </w:rPr>
          <w:t>Inspecting safeguarding in early years, education and skills settings</w:t>
        </w:r>
      </w:hyperlink>
      <w:r w:rsidRPr="004010C7">
        <w:rPr>
          <w:rFonts w:eastAsia="Times New Roman" w:cstheme="minorHAnsi"/>
          <w:color w:val="222222"/>
          <w:lang w:eastAsia="en-GB"/>
        </w:rPr>
        <w:t>. Inspectors will include safeguarding arrangements throughout the inspection and will always comment on the effectiveness of safeguarding in the inspection report. Safeguarding must be judged to be effective for the school to receive a grading of Outstanding, Good or Requires Improvement.</w:t>
      </w:r>
    </w:p>
    <w:p w:rsidR="004010C7" w:rsidRDefault="004010C7" w:rsidP="004010C7">
      <w:pPr>
        <w:spacing w:after="0" w:line="360" w:lineRule="atLeast"/>
        <w:ind w:left="720"/>
        <w:textAlignment w:val="baseline"/>
        <w:rPr>
          <w:rFonts w:eastAsia="Times New Roman" w:cstheme="minorHAnsi"/>
          <w:color w:val="222222"/>
          <w:lang w:eastAsia="en-GB"/>
        </w:rPr>
      </w:pPr>
    </w:p>
    <w:p w:rsidR="004010C7" w:rsidRPr="004010C7" w:rsidRDefault="004010C7" w:rsidP="00691A22">
      <w:pPr>
        <w:spacing w:after="0" w:line="360" w:lineRule="atLeast"/>
        <w:textAlignment w:val="baseline"/>
        <w:rPr>
          <w:rFonts w:eastAsia="Times New Roman" w:cstheme="minorHAnsi"/>
          <w:b/>
          <w:color w:val="222222"/>
          <w:lang w:eastAsia="en-GB"/>
        </w:rPr>
      </w:pPr>
      <w:r w:rsidRPr="004010C7">
        <w:rPr>
          <w:rFonts w:eastAsia="Times New Roman" w:cstheme="minorHAnsi"/>
          <w:b/>
          <w:color w:val="222222"/>
          <w:lang w:eastAsia="en-GB"/>
        </w:rPr>
        <w:t>Hampshire County Council resources</w:t>
      </w:r>
    </w:p>
    <w:p w:rsidR="004010C7" w:rsidRPr="004010C7" w:rsidRDefault="004010C7" w:rsidP="00691A22">
      <w:pPr>
        <w:spacing w:after="0" w:line="360" w:lineRule="atLeast"/>
        <w:textAlignment w:val="baseline"/>
        <w:rPr>
          <w:rFonts w:eastAsia="Times New Roman" w:cstheme="minorHAnsi"/>
          <w:color w:val="222222"/>
          <w:lang w:eastAsia="en-GB"/>
        </w:rPr>
      </w:pPr>
      <w:r w:rsidRPr="004010C7">
        <w:rPr>
          <w:rFonts w:eastAsia="Times New Roman" w:cstheme="minorHAnsi"/>
          <w:color w:val="222222"/>
          <w:lang w:eastAsia="en-GB"/>
        </w:rPr>
        <w:t>The main information you will want to access is on the Hampshire County Council </w:t>
      </w:r>
      <w:hyperlink r:id="rId15" w:history="1">
        <w:r w:rsidRPr="004010C7">
          <w:rPr>
            <w:rFonts w:eastAsia="Times New Roman" w:cstheme="minorHAnsi"/>
            <w:color w:val="480387"/>
            <w:u w:val="single"/>
            <w:bdr w:val="none" w:sz="0" w:space="0" w:color="auto" w:frame="1"/>
            <w:lang w:eastAsia="en-GB"/>
          </w:rPr>
          <w:t>Safeguarding children in education</w:t>
        </w:r>
      </w:hyperlink>
      <w:r w:rsidRPr="004010C7">
        <w:rPr>
          <w:rFonts w:eastAsia="Times New Roman" w:cstheme="minorHAnsi"/>
          <w:color w:val="222222"/>
          <w:lang w:eastAsia="en-GB"/>
        </w:rPr>
        <w:t> pages. Here you will find:</w:t>
      </w:r>
    </w:p>
    <w:p w:rsidR="004010C7" w:rsidRPr="004010C7" w:rsidRDefault="004010C7" w:rsidP="004010C7">
      <w:pPr>
        <w:numPr>
          <w:ilvl w:val="0"/>
          <w:numId w:val="6"/>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statutory policies and procedures</w:t>
      </w:r>
    </w:p>
    <w:p w:rsidR="004010C7" w:rsidRPr="004010C7" w:rsidRDefault="004010C7" w:rsidP="004010C7">
      <w:pPr>
        <w:numPr>
          <w:ilvl w:val="0"/>
          <w:numId w:val="6"/>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support and guidance</w:t>
      </w:r>
    </w:p>
    <w:p w:rsidR="004010C7" w:rsidRPr="004010C7" w:rsidRDefault="004010C7" w:rsidP="004010C7">
      <w:pPr>
        <w:numPr>
          <w:ilvl w:val="0"/>
          <w:numId w:val="6"/>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training and development</w:t>
      </w:r>
    </w:p>
    <w:p w:rsidR="004010C7" w:rsidRPr="004010C7" w:rsidRDefault="004010C7" w:rsidP="004010C7">
      <w:pPr>
        <w:numPr>
          <w:ilvl w:val="0"/>
          <w:numId w:val="6"/>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annual audit tool</w:t>
      </w:r>
    </w:p>
    <w:p w:rsidR="004010C7" w:rsidRPr="004010C7" w:rsidRDefault="004010C7" w:rsidP="004010C7">
      <w:pPr>
        <w:numPr>
          <w:ilvl w:val="0"/>
          <w:numId w:val="6"/>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links to national resources</w:t>
      </w:r>
    </w:p>
    <w:p w:rsidR="004010C7" w:rsidRPr="004010C7" w:rsidRDefault="004010C7" w:rsidP="004010C7">
      <w:pPr>
        <w:numPr>
          <w:ilvl w:val="0"/>
          <w:numId w:val="6"/>
        </w:numPr>
        <w:spacing w:before="100" w:beforeAutospacing="1" w:after="10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Hampshire safeguarding model policies</w:t>
      </w:r>
    </w:p>
    <w:p w:rsidR="004010C7" w:rsidRPr="004010C7" w:rsidRDefault="00035BD5" w:rsidP="004010C7">
      <w:pPr>
        <w:numPr>
          <w:ilvl w:val="0"/>
          <w:numId w:val="6"/>
        </w:numPr>
        <w:spacing w:beforeAutospacing="1" w:after="0" w:afterAutospacing="1" w:line="360" w:lineRule="atLeast"/>
        <w:ind w:left="960"/>
        <w:textAlignment w:val="baseline"/>
        <w:rPr>
          <w:rFonts w:eastAsia="Times New Roman" w:cstheme="minorHAnsi"/>
          <w:color w:val="222222"/>
          <w:lang w:eastAsia="en-GB"/>
        </w:rPr>
      </w:pPr>
      <w:hyperlink r:id="rId16" w:history="1">
        <w:r w:rsidR="004010C7" w:rsidRPr="004010C7">
          <w:rPr>
            <w:rFonts w:eastAsia="Times New Roman" w:cstheme="minorHAnsi"/>
            <w:color w:val="480387"/>
            <w:u w:val="single"/>
            <w:bdr w:val="none" w:sz="0" w:space="0" w:color="auto" w:frame="1"/>
            <w:lang w:eastAsia="en-GB"/>
          </w:rPr>
          <w:t>online safety resources</w:t>
        </w:r>
      </w:hyperlink>
    </w:p>
    <w:p w:rsidR="004010C7" w:rsidRPr="004010C7" w:rsidRDefault="004010C7" w:rsidP="004010C7">
      <w:pPr>
        <w:numPr>
          <w:ilvl w:val="0"/>
          <w:numId w:val="6"/>
        </w:numPr>
        <w:spacing w:beforeAutospacing="1" w:after="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Education Personnel Service (sold service)</w:t>
      </w:r>
      <w:r w:rsidRPr="004010C7">
        <w:rPr>
          <w:rFonts w:eastAsia="Times New Roman" w:cstheme="minorHAnsi"/>
          <w:color w:val="222222"/>
          <w:lang w:eastAsia="en-GB"/>
        </w:rPr>
        <w:br/>
        <w:t>The Manual of Personnel Practice contains detailed guidance and template documents schools can use to ensure robust recruitment, selection, vetting and induction processes for school staff and volunteers. This includes information about the single central record. The MOPP also has pages on maintaining a </w:t>
      </w:r>
      <w:hyperlink r:id="rId17" w:history="1">
        <w:r w:rsidRPr="004010C7">
          <w:rPr>
            <w:rFonts w:eastAsia="Times New Roman" w:cstheme="minorHAnsi"/>
            <w:color w:val="480387"/>
            <w:u w:val="single"/>
            <w:bdr w:val="none" w:sz="0" w:space="0" w:color="auto" w:frame="1"/>
            <w:lang w:eastAsia="en-GB"/>
          </w:rPr>
          <w:t>safeguarding culture</w:t>
        </w:r>
      </w:hyperlink>
      <w:r w:rsidRPr="004010C7">
        <w:rPr>
          <w:rFonts w:eastAsia="Times New Roman" w:cstheme="minorHAnsi"/>
          <w:color w:val="222222"/>
          <w:lang w:eastAsia="en-GB"/>
        </w:rPr>
        <w:t> (through policies, procedures, training and monitoring).</w:t>
      </w:r>
    </w:p>
    <w:p w:rsidR="004010C7" w:rsidRPr="004010C7" w:rsidRDefault="004010C7" w:rsidP="004010C7">
      <w:pPr>
        <w:numPr>
          <w:ilvl w:val="0"/>
          <w:numId w:val="6"/>
        </w:numPr>
        <w:spacing w:beforeAutospacing="1" w:after="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See </w:t>
      </w:r>
      <w:hyperlink r:id="rId18" w:history="1">
        <w:r w:rsidRPr="004010C7">
          <w:rPr>
            <w:rFonts w:eastAsia="Times New Roman" w:cstheme="minorHAnsi"/>
            <w:color w:val="480387"/>
            <w:u w:val="single"/>
            <w:bdr w:val="none" w:sz="0" w:space="0" w:color="auto" w:frame="1"/>
            <w:lang w:eastAsia="en-GB"/>
          </w:rPr>
          <w:t>Online safety resources</w:t>
        </w:r>
      </w:hyperlink>
      <w:r w:rsidRPr="004010C7">
        <w:rPr>
          <w:rFonts w:eastAsia="Times New Roman" w:cstheme="minorHAnsi"/>
          <w:color w:val="222222"/>
          <w:lang w:eastAsia="en-GB"/>
        </w:rPr>
        <w:t> for advice on the use of the internet and other technologies.</w:t>
      </w:r>
    </w:p>
    <w:p w:rsidR="004010C7" w:rsidRPr="004010C7" w:rsidRDefault="004010C7" w:rsidP="004010C7">
      <w:pPr>
        <w:numPr>
          <w:ilvl w:val="0"/>
          <w:numId w:val="6"/>
        </w:numPr>
        <w:spacing w:beforeAutospacing="1" w:after="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Complete the </w:t>
      </w:r>
      <w:hyperlink r:id="rId19" w:history="1">
        <w:r w:rsidRPr="004010C7">
          <w:rPr>
            <w:rFonts w:eastAsia="Times New Roman" w:cstheme="minorHAnsi"/>
            <w:color w:val="480387"/>
            <w:u w:val="single"/>
            <w:bdr w:val="none" w:sz="0" w:space="0" w:color="auto" w:frame="1"/>
            <w:lang w:eastAsia="en-GB"/>
          </w:rPr>
          <w:t>Governor Service E-Learning: Dealing with child protection allegations</w:t>
        </w:r>
      </w:hyperlink>
      <w:r w:rsidRPr="004010C7">
        <w:rPr>
          <w:rFonts w:eastAsia="Times New Roman" w:cstheme="minorHAnsi"/>
          <w:color w:val="222222"/>
          <w:lang w:eastAsia="en-GB"/>
        </w:rPr>
        <w:t> which sets out what governors need to do, and contains links to other relevant Hampshire County Council guidance.</w:t>
      </w:r>
    </w:p>
    <w:p w:rsidR="004010C7" w:rsidRPr="004010C7" w:rsidRDefault="004010C7" w:rsidP="004010C7">
      <w:pPr>
        <w:numPr>
          <w:ilvl w:val="0"/>
          <w:numId w:val="6"/>
        </w:numPr>
        <w:spacing w:beforeAutospacing="1" w:after="0" w:afterAutospacing="1" w:line="360" w:lineRule="atLeast"/>
        <w:ind w:left="960"/>
        <w:textAlignment w:val="baseline"/>
        <w:rPr>
          <w:rFonts w:eastAsia="Times New Roman" w:cstheme="minorHAnsi"/>
          <w:color w:val="222222"/>
          <w:lang w:eastAsia="en-GB"/>
        </w:rPr>
      </w:pPr>
      <w:r w:rsidRPr="004010C7">
        <w:rPr>
          <w:rFonts w:eastAsia="Times New Roman" w:cstheme="minorHAnsi"/>
          <w:color w:val="222222"/>
          <w:lang w:eastAsia="en-GB"/>
        </w:rPr>
        <w:t>You can also book to attend training on </w:t>
      </w:r>
      <w:hyperlink r:id="rId20" w:history="1">
        <w:r w:rsidRPr="004010C7">
          <w:rPr>
            <w:rFonts w:eastAsia="Times New Roman" w:cstheme="minorHAnsi"/>
            <w:color w:val="480387"/>
            <w:u w:val="single"/>
            <w:bdr w:val="none" w:sz="0" w:space="0" w:color="auto" w:frame="1"/>
            <w:lang w:eastAsia="en-GB"/>
          </w:rPr>
          <w:t>Protecting Children and Safer Recruitment</w:t>
        </w:r>
      </w:hyperlink>
      <w:r w:rsidRPr="004010C7">
        <w:rPr>
          <w:rFonts w:eastAsia="Times New Roman" w:cstheme="minorHAnsi"/>
          <w:color w:val="222222"/>
          <w:lang w:eastAsia="en-GB"/>
        </w:rPr>
        <w:t>.</w:t>
      </w:r>
    </w:p>
    <w:p w:rsidR="004010C7" w:rsidRPr="004010C7" w:rsidRDefault="004010C7" w:rsidP="008368B1">
      <w:pPr>
        <w:spacing w:after="0" w:line="200" w:lineRule="atLeast"/>
        <w:textAlignment w:val="baseline"/>
        <w:rPr>
          <w:rFonts w:eastAsia="Times New Roman" w:cstheme="minorHAnsi"/>
          <w:b/>
          <w:color w:val="222222"/>
          <w:lang w:eastAsia="en-GB"/>
        </w:rPr>
      </w:pPr>
      <w:r w:rsidRPr="004010C7">
        <w:rPr>
          <w:rFonts w:eastAsia="Times New Roman" w:cstheme="minorHAnsi"/>
          <w:b/>
          <w:color w:val="222222"/>
          <w:lang w:eastAsia="en-GB"/>
        </w:rPr>
        <w:t>National resources</w:t>
      </w:r>
    </w:p>
    <w:p w:rsidR="004010C7" w:rsidRPr="004010C7" w:rsidRDefault="00035BD5" w:rsidP="008368B1">
      <w:pPr>
        <w:numPr>
          <w:ilvl w:val="0"/>
          <w:numId w:val="7"/>
        </w:numPr>
        <w:spacing w:before="120" w:after="0" w:line="60" w:lineRule="atLeast"/>
        <w:ind w:left="958" w:hanging="357"/>
        <w:textAlignment w:val="baseline"/>
        <w:rPr>
          <w:rFonts w:eastAsia="Times New Roman" w:cstheme="minorHAnsi"/>
          <w:color w:val="222222"/>
          <w:lang w:eastAsia="en-GB"/>
        </w:rPr>
      </w:pPr>
      <w:hyperlink r:id="rId21" w:history="1">
        <w:r w:rsidR="004010C7" w:rsidRPr="004010C7">
          <w:rPr>
            <w:rFonts w:eastAsia="Times New Roman" w:cstheme="minorHAnsi"/>
            <w:color w:val="480387"/>
            <w:u w:val="single"/>
            <w:bdr w:val="none" w:sz="0" w:space="0" w:color="auto" w:frame="1"/>
            <w:lang w:eastAsia="en-GB"/>
          </w:rPr>
          <w:t>UK Council of Internet Safety’s Online safety in schools and colleges: Questions from the Governing Board</w:t>
        </w:r>
      </w:hyperlink>
    </w:p>
    <w:p w:rsidR="004010C7" w:rsidRPr="004010C7" w:rsidRDefault="00035BD5" w:rsidP="008368B1">
      <w:pPr>
        <w:numPr>
          <w:ilvl w:val="0"/>
          <w:numId w:val="7"/>
        </w:numPr>
        <w:spacing w:after="0" w:line="60" w:lineRule="atLeast"/>
        <w:ind w:left="958" w:hanging="357"/>
        <w:textAlignment w:val="baseline"/>
        <w:rPr>
          <w:rFonts w:eastAsia="Times New Roman" w:cstheme="minorHAnsi"/>
          <w:color w:val="222222"/>
          <w:lang w:eastAsia="en-GB"/>
        </w:rPr>
      </w:pPr>
      <w:hyperlink r:id="rId22" w:history="1">
        <w:r w:rsidR="004010C7" w:rsidRPr="004010C7">
          <w:rPr>
            <w:rFonts w:eastAsia="Times New Roman" w:cstheme="minorHAnsi"/>
            <w:color w:val="480387"/>
            <w:u w:val="single"/>
            <w:bdr w:val="none" w:sz="0" w:space="0" w:color="auto" w:frame="1"/>
            <w:lang w:eastAsia="en-GB"/>
          </w:rPr>
          <w:t>Sexual violence and sexual harassment between children in schools and colleges</w:t>
        </w:r>
      </w:hyperlink>
    </w:p>
    <w:p w:rsidR="004010C7" w:rsidRPr="004010C7" w:rsidRDefault="00035BD5" w:rsidP="008368B1">
      <w:pPr>
        <w:numPr>
          <w:ilvl w:val="0"/>
          <w:numId w:val="7"/>
        </w:numPr>
        <w:spacing w:before="100" w:beforeAutospacing="1" w:after="0" w:line="60" w:lineRule="atLeast"/>
        <w:ind w:left="958" w:hanging="357"/>
        <w:textAlignment w:val="baseline"/>
        <w:rPr>
          <w:rFonts w:eastAsia="Times New Roman" w:cstheme="minorHAnsi"/>
          <w:color w:val="222222"/>
          <w:lang w:eastAsia="en-GB"/>
        </w:rPr>
      </w:pPr>
      <w:hyperlink r:id="rId23" w:history="1">
        <w:r w:rsidR="004010C7" w:rsidRPr="004010C7">
          <w:rPr>
            <w:rFonts w:eastAsia="Times New Roman" w:cstheme="minorHAnsi"/>
            <w:color w:val="480387"/>
            <w:u w:val="single"/>
            <w:bdr w:val="none" w:sz="0" w:space="0" w:color="auto" w:frame="1"/>
            <w:lang w:eastAsia="en-GB"/>
          </w:rPr>
          <w:t>Statutory policies for schools and academy trusts</w:t>
        </w:r>
      </w:hyperlink>
    </w:p>
    <w:p w:rsidR="004010C7" w:rsidRPr="008368B1" w:rsidRDefault="00035BD5" w:rsidP="007363ED">
      <w:pPr>
        <w:numPr>
          <w:ilvl w:val="0"/>
          <w:numId w:val="7"/>
        </w:numPr>
        <w:spacing w:after="120" w:line="120" w:lineRule="atLeast"/>
        <w:ind w:left="958" w:hanging="357"/>
        <w:textAlignment w:val="baseline"/>
        <w:rPr>
          <w:rFonts w:cstheme="minorHAnsi"/>
        </w:rPr>
      </w:pPr>
      <w:hyperlink r:id="rId24" w:history="1">
        <w:r w:rsidR="004010C7" w:rsidRPr="008368B1">
          <w:rPr>
            <w:rFonts w:eastAsia="Times New Roman" w:cstheme="minorHAnsi"/>
            <w:color w:val="480387"/>
            <w:u w:val="single"/>
            <w:bdr w:val="none" w:sz="0" w:space="0" w:color="auto" w:frame="1"/>
            <w:lang w:eastAsia="en-GB"/>
          </w:rPr>
          <w:t>Complexity and challenge: a triennial analysis of SCRs 2014-2017, Final report, March 2020</w:t>
        </w:r>
      </w:hyperlink>
    </w:p>
    <w:sectPr w:rsidR="004010C7" w:rsidRPr="008368B1">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BD5" w:rsidRDefault="00035BD5" w:rsidP="00F04F28">
      <w:pPr>
        <w:spacing w:after="0" w:line="240" w:lineRule="auto"/>
      </w:pPr>
      <w:r>
        <w:separator/>
      </w:r>
    </w:p>
  </w:endnote>
  <w:endnote w:type="continuationSeparator" w:id="0">
    <w:p w:rsidR="00035BD5" w:rsidRDefault="00035BD5" w:rsidP="00F0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435696"/>
      <w:docPartObj>
        <w:docPartGallery w:val="Page Numbers (Bottom of Page)"/>
        <w:docPartUnique/>
      </w:docPartObj>
    </w:sdtPr>
    <w:sdtEndPr>
      <w:rPr>
        <w:noProof/>
      </w:rPr>
    </w:sdtEndPr>
    <w:sdtContent>
      <w:p w:rsidR="00712423" w:rsidRDefault="00712423">
        <w:pPr>
          <w:pStyle w:val="Footer"/>
          <w:jc w:val="center"/>
        </w:pPr>
        <w:r>
          <w:fldChar w:fldCharType="begin"/>
        </w:r>
        <w:r>
          <w:instrText xml:space="preserve"> PAGE   \* MERGEFORMAT </w:instrText>
        </w:r>
        <w:r>
          <w:fldChar w:fldCharType="separate"/>
        </w:r>
        <w:r w:rsidR="007C43E4">
          <w:rPr>
            <w:noProof/>
          </w:rPr>
          <w:t>1</w:t>
        </w:r>
        <w:r>
          <w:rPr>
            <w:noProof/>
          </w:rPr>
          <w:fldChar w:fldCharType="end"/>
        </w:r>
      </w:p>
    </w:sdtContent>
  </w:sdt>
  <w:p w:rsidR="00F04F28" w:rsidRDefault="00F04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BD5" w:rsidRDefault="00035BD5" w:rsidP="00F04F28">
      <w:pPr>
        <w:spacing w:after="0" w:line="240" w:lineRule="auto"/>
      </w:pPr>
      <w:r>
        <w:separator/>
      </w:r>
    </w:p>
  </w:footnote>
  <w:footnote w:type="continuationSeparator" w:id="0">
    <w:p w:rsidR="00035BD5" w:rsidRDefault="00035BD5" w:rsidP="00F04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839C9"/>
    <w:multiLevelType w:val="multilevel"/>
    <w:tmpl w:val="2DB4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9322FE"/>
    <w:multiLevelType w:val="multilevel"/>
    <w:tmpl w:val="4606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D255FF"/>
    <w:multiLevelType w:val="multilevel"/>
    <w:tmpl w:val="B93CD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A1D92"/>
    <w:multiLevelType w:val="hybridMultilevel"/>
    <w:tmpl w:val="E2B0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C62AD1"/>
    <w:multiLevelType w:val="multilevel"/>
    <w:tmpl w:val="B49C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E77FF8"/>
    <w:multiLevelType w:val="multilevel"/>
    <w:tmpl w:val="55AE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4C0A0A"/>
    <w:multiLevelType w:val="multilevel"/>
    <w:tmpl w:val="844A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CB0BC0"/>
    <w:multiLevelType w:val="multilevel"/>
    <w:tmpl w:val="02ACDFAA"/>
    <w:lvl w:ilvl="0">
      <w:start w:val="1"/>
      <w:numFmt w:val="bullet"/>
      <w:lvlText w:val=""/>
      <w:lvlJc w:val="left"/>
      <w:pPr>
        <w:tabs>
          <w:tab w:val="num" w:pos="-1082"/>
        </w:tabs>
        <w:ind w:left="-1082" w:hanging="360"/>
      </w:pPr>
      <w:rPr>
        <w:rFonts w:ascii="Symbol" w:hAnsi="Symbol" w:hint="default"/>
        <w:sz w:val="20"/>
      </w:rPr>
    </w:lvl>
    <w:lvl w:ilvl="1" w:tentative="1">
      <w:start w:val="1"/>
      <w:numFmt w:val="bullet"/>
      <w:lvlText w:val=""/>
      <w:lvlJc w:val="left"/>
      <w:pPr>
        <w:tabs>
          <w:tab w:val="num" w:pos="-362"/>
        </w:tabs>
        <w:ind w:left="-362" w:hanging="360"/>
      </w:pPr>
      <w:rPr>
        <w:rFonts w:ascii="Symbol" w:hAnsi="Symbol" w:hint="default"/>
        <w:sz w:val="20"/>
      </w:rPr>
    </w:lvl>
    <w:lvl w:ilvl="2" w:tentative="1">
      <w:start w:val="1"/>
      <w:numFmt w:val="bullet"/>
      <w:lvlText w:val=""/>
      <w:lvlJc w:val="left"/>
      <w:pPr>
        <w:tabs>
          <w:tab w:val="num" w:pos="358"/>
        </w:tabs>
        <w:ind w:left="358" w:hanging="360"/>
      </w:pPr>
      <w:rPr>
        <w:rFonts w:ascii="Symbol" w:hAnsi="Symbol" w:hint="default"/>
        <w:sz w:val="20"/>
      </w:rPr>
    </w:lvl>
    <w:lvl w:ilvl="3" w:tentative="1">
      <w:start w:val="1"/>
      <w:numFmt w:val="bullet"/>
      <w:lvlText w:val=""/>
      <w:lvlJc w:val="left"/>
      <w:pPr>
        <w:tabs>
          <w:tab w:val="num" w:pos="1078"/>
        </w:tabs>
        <w:ind w:left="1078" w:hanging="360"/>
      </w:pPr>
      <w:rPr>
        <w:rFonts w:ascii="Symbol" w:hAnsi="Symbol" w:hint="default"/>
        <w:sz w:val="20"/>
      </w:rPr>
    </w:lvl>
    <w:lvl w:ilvl="4" w:tentative="1">
      <w:start w:val="1"/>
      <w:numFmt w:val="bullet"/>
      <w:lvlText w:val=""/>
      <w:lvlJc w:val="left"/>
      <w:pPr>
        <w:tabs>
          <w:tab w:val="num" w:pos="1798"/>
        </w:tabs>
        <w:ind w:left="1798" w:hanging="360"/>
      </w:pPr>
      <w:rPr>
        <w:rFonts w:ascii="Symbol" w:hAnsi="Symbol" w:hint="default"/>
        <w:sz w:val="20"/>
      </w:rPr>
    </w:lvl>
    <w:lvl w:ilvl="5" w:tentative="1">
      <w:start w:val="1"/>
      <w:numFmt w:val="bullet"/>
      <w:lvlText w:val=""/>
      <w:lvlJc w:val="left"/>
      <w:pPr>
        <w:tabs>
          <w:tab w:val="num" w:pos="2518"/>
        </w:tabs>
        <w:ind w:left="2518" w:hanging="360"/>
      </w:pPr>
      <w:rPr>
        <w:rFonts w:ascii="Symbol" w:hAnsi="Symbol" w:hint="default"/>
        <w:sz w:val="20"/>
      </w:rPr>
    </w:lvl>
    <w:lvl w:ilvl="6" w:tentative="1">
      <w:start w:val="1"/>
      <w:numFmt w:val="bullet"/>
      <w:lvlText w:val=""/>
      <w:lvlJc w:val="left"/>
      <w:pPr>
        <w:tabs>
          <w:tab w:val="num" w:pos="3238"/>
        </w:tabs>
        <w:ind w:left="3238" w:hanging="360"/>
      </w:pPr>
      <w:rPr>
        <w:rFonts w:ascii="Symbol" w:hAnsi="Symbol" w:hint="default"/>
        <w:sz w:val="20"/>
      </w:rPr>
    </w:lvl>
    <w:lvl w:ilvl="7" w:tentative="1">
      <w:start w:val="1"/>
      <w:numFmt w:val="bullet"/>
      <w:lvlText w:val=""/>
      <w:lvlJc w:val="left"/>
      <w:pPr>
        <w:tabs>
          <w:tab w:val="num" w:pos="3958"/>
        </w:tabs>
        <w:ind w:left="3958" w:hanging="360"/>
      </w:pPr>
      <w:rPr>
        <w:rFonts w:ascii="Symbol" w:hAnsi="Symbol" w:hint="default"/>
        <w:sz w:val="20"/>
      </w:rPr>
    </w:lvl>
    <w:lvl w:ilvl="8" w:tentative="1">
      <w:start w:val="1"/>
      <w:numFmt w:val="bullet"/>
      <w:lvlText w:val=""/>
      <w:lvlJc w:val="left"/>
      <w:pPr>
        <w:tabs>
          <w:tab w:val="num" w:pos="4678"/>
        </w:tabs>
        <w:ind w:left="4678" w:hanging="360"/>
      </w:pPr>
      <w:rPr>
        <w:rFonts w:ascii="Symbol" w:hAnsi="Symbol" w:hint="default"/>
        <w:sz w:val="20"/>
      </w:rPr>
    </w:lvl>
  </w:abstractNum>
  <w:abstractNum w:abstractNumId="8" w15:restartNumberingAfterBreak="0">
    <w:nsid w:val="5A0D7956"/>
    <w:multiLevelType w:val="multilevel"/>
    <w:tmpl w:val="5066B2DE"/>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num w:numId="1">
    <w:abstractNumId w:val="8"/>
  </w:num>
  <w:num w:numId="2">
    <w:abstractNumId w:val="2"/>
  </w:num>
  <w:num w:numId="3">
    <w:abstractNumId w:val="4"/>
  </w:num>
  <w:num w:numId="4">
    <w:abstractNumId w:val="5"/>
  </w:num>
  <w:num w:numId="5">
    <w:abstractNumId w:val="1"/>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C7"/>
    <w:rsid w:val="00035BD5"/>
    <w:rsid w:val="002C1EF8"/>
    <w:rsid w:val="003D702A"/>
    <w:rsid w:val="004010C7"/>
    <w:rsid w:val="00691A22"/>
    <w:rsid w:val="00712423"/>
    <w:rsid w:val="007C43E4"/>
    <w:rsid w:val="008368B1"/>
    <w:rsid w:val="00846E8C"/>
    <w:rsid w:val="00AB7106"/>
    <w:rsid w:val="00F04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E1C99-0485-4B76-995F-EB882F57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010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10C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010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010C7"/>
    <w:rPr>
      <w:color w:val="0000FF"/>
      <w:u w:val="single"/>
    </w:rPr>
  </w:style>
  <w:style w:type="character" w:styleId="Emphasis">
    <w:name w:val="Emphasis"/>
    <w:basedOn w:val="DefaultParagraphFont"/>
    <w:uiPriority w:val="20"/>
    <w:qFormat/>
    <w:rsid w:val="004010C7"/>
    <w:rPr>
      <w:i/>
      <w:iCs/>
    </w:rPr>
  </w:style>
  <w:style w:type="character" w:customStyle="1" w:styleId="Caption1">
    <w:name w:val="Caption1"/>
    <w:basedOn w:val="DefaultParagraphFont"/>
    <w:rsid w:val="004010C7"/>
  </w:style>
  <w:style w:type="paragraph" w:styleId="Header">
    <w:name w:val="header"/>
    <w:basedOn w:val="Normal"/>
    <w:link w:val="HeaderChar"/>
    <w:uiPriority w:val="99"/>
    <w:unhideWhenUsed/>
    <w:rsid w:val="00F04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F28"/>
  </w:style>
  <w:style w:type="paragraph" w:styleId="Footer">
    <w:name w:val="footer"/>
    <w:basedOn w:val="Normal"/>
    <w:link w:val="FooterChar"/>
    <w:uiPriority w:val="99"/>
    <w:unhideWhenUsed/>
    <w:rsid w:val="00F04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F28"/>
  </w:style>
  <w:style w:type="paragraph" w:styleId="ListParagraph">
    <w:name w:val="List Paragraph"/>
    <w:basedOn w:val="Normal"/>
    <w:uiPriority w:val="34"/>
    <w:qFormat/>
    <w:rsid w:val="00712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22476">
      <w:bodyDiv w:val="1"/>
      <w:marLeft w:val="0"/>
      <w:marRight w:val="0"/>
      <w:marTop w:val="0"/>
      <w:marBottom w:val="0"/>
      <w:divBdr>
        <w:top w:val="none" w:sz="0" w:space="0" w:color="auto"/>
        <w:left w:val="none" w:sz="0" w:space="0" w:color="auto"/>
        <w:bottom w:val="none" w:sz="0" w:space="0" w:color="auto"/>
        <w:right w:val="none" w:sz="0" w:space="0" w:color="auto"/>
      </w:divBdr>
      <w:divsChild>
        <w:div w:id="1657218644">
          <w:marLeft w:val="0"/>
          <w:marRight w:val="0"/>
          <w:marTop w:val="0"/>
          <w:marBottom w:val="0"/>
          <w:divBdr>
            <w:top w:val="none" w:sz="0" w:space="0" w:color="auto"/>
            <w:left w:val="none" w:sz="0" w:space="0" w:color="auto"/>
            <w:bottom w:val="none" w:sz="0" w:space="0" w:color="auto"/>
            <w:right w:val="none" w:sz="0" w:space="0" w:color="auto"/>
          </w:divBdr>
          <w:divsChild>
            <w:div w:id="572353840">
              <w:marLeft w:val="0"/>
              <w:marRight w:val="0"/>
              <w:marTop w:val="0"/>
              <w:marBottom w:val="0"/>
              <w:divBdr>
                <w:top w:val="none" w:sz="0" w:space="0" w:color="auto"/>
                <w:left w:val="none" w:sz="0" w:space="0" w:color="auto"/>
                <w:bottom w:val="none" w:sz="0" w:space="0" w:color="auto"/>
                <w:right w:val="none" w:sz="0" w:space="0" w:color="auto"/>
              </w:divBdr>
              <w:divsChild>
                <w:div w:id="249968862">
                  <w:marLeft w:val="0"/>
                  <w:marRight w:val="0"/>
                  <w:marTop w:val="0"/>
                  <w:marBottom w:val="0"/>
                  <w:divBdr>
                    <w:top w:val="none" w:sz="0" w:space="0" w:color="auto"/>
                    <w:left w:val="none" w:sz="0" w:space="0" w:color="auto"/>
                    <w:bottom w:val="none" w:sz="0" w:space="0" w:color="auto"/>
                    <w:right w:val="none" w:sz="0" w:space="0" w:color="auto"/>
                  </w:divBdr>
                </w:div>
                <w:div w:id="1990666757">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specting-safeguarding-in-early-years-education-and-skills" TargetMode="External"/><Relationship Id="rId13" Type="http://schemas.openxmlformats.org/officeDocument/2006/relationships/hyperlink" Target="https://www.hants.gov.uk/educationandlearning/education-personnel-services/manual/safeguarding-culture/single-central-record" TargetMode="External"/><Relationship Id="rId18" Type="http://schemas.openxmlformats.org/officeDocument/2006/relationships/hyperlink" Target="https://www.hants.gov.uk/socialcareandhealth/childrenandfamilies/safeguardingchildren/onlinesafet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uments.hants.gov.uk/governors/onlinesafetyinschoolscolleges.pdf" TargetMode="Externa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governorhub.com/" TargetMode="External"/><Relationship Id="rId17" Type="http://schemas.openxmlformats.org/officeDocument/2006/relationships/hyperlink" Target="https://www.hants.gov.uk/educationandlearning/education-personnel-servic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ants.gov.uk/socialcareandhealth/childrenandfamilies/safeguardingchildren/onlinesafety" TargetMode="External"/><Relationship Id="rId20" Type="http://schemas.openxmlformats.org/officeDocument/2006/relationships/hyperlink" Target="https://www.hants.gov.uk/educationandlearning/governors/training-courses-we-off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safeguard-children--2" TargetMode="External"/><Relationship Id="rId24" Type="http://schemas.openxmlformats.org/officeDocument/2006/relationships/hyperlink" Target="https://assets.publishing.service.gov.uk/government/uploads/system/uploads/attachment_data/file/869586/TRIENNIAL_SCR_REPORT_2014_to_2017.pdf" TargetMode="External"/><Relationship Id="rId5" Type="http://schemas.openxmlformats.org/officeDocument/2006/relationships/footnotes" Target="footnotes.xml"/><Relationship Id="rId15" Type="http://schemas.openxmlformats.org/officeDocument/2006/relationships/hyperlink" Target="https://www.hants.gov.uk/educationandlearning/safeguardingchildren" TargetMode="External"/><Relationship Id="rId23" Type="http://schemas.openxmlformats.org/officeDocument/2006/relationships/hyperlink" Target="https://www.gov.uk/government/publications/statutory-policies-for-schools-and-academy-trusts/statutory-policies-for-schools-and-academy-trusts"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hants.gov.uk/education/governortraining/dealingwithchildprotectionallegations/" TargetMode="External"/><Relationship Id="rId4" Type="http://schemas.openxmlformats.org/officeDocument/2006/relationships/webSettings" Target="web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hyperlink" Target="https://assets.publishing.service.gov.uk/government/uploads/system/uploads/attachment_data/file/828763/Inspecting_safeguarding_in_early_years__education_and_skills.pdf"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Madeline Hussey</cp:lastModifiedBy>
  <cp:revision>2</cp:revision>
  <dcterms:created xsi:type="dcterms:W3CDTF">2020-12-04T11:15:00Z</dcterms:created>
  <dcterms:modified xsi:type="dcterms:W3CDTF">2020-12-04T11:15:00Z</dcterms:modified>
</cp:coreProperties>
</file>